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0" w:after="200"/>
      </w:pPr>
      <w:r>
        <w:rPr>
          <w:b/>
          <w:sz w:val="32"/>
        </w:rPr>
        <w:t xml:space="preserve">OPIS PRZEDMIOTU ZAMÓWIENIA</w:t>
      </w:r>
    </w:p>
    <w:p>
      <w:pPr>
        <w:spacing w:before="0" w:after="120"/>
      </w:pPr>
      <w:r>
        <w:rPr>
          <w:b/>
        </w:rPr>
        <w:t xml:space="preserve">Zamawiający:</w:t>
      </w:r>
      <w:r>
        <w:t xml:space="preserve"> [nazwa organu prowadzącego / szkoły, adres, NIP]</w:t>
      </w:r>
    </w:p>
    <w:p>
      <w:pPr>
        <w:spacing w:before="0" w:after="120"/>
      </w:pPr>
      <w:r>
        <w:rPr>
          <w:b/>
        </w:rPr>
        <w:t xml:space="preserve">Nazwa zamówienia:</w:t>
      </w:r>
      <w:r>
        <w:t xml:space="preserve"> Dostawa i wdrożenie pracowni wirtualnej rzeczywistości (VR) dla [nazwa szkoły] w ramach programu [„Cyfrowy Uczeń” / „Pracownie Kompas Jutra” / inne]</w:t>
      </w:r>
    </w:p>
    <w:p>
      <w:pPr>
        <w:spacing w:before="0" w:after="120"/>
      </w:pPr>
      <w:r>
        <w:rPr>
          <w:b/>
        </w:rPr>
        <w:t xml:space="preserve">Kod CPV:</w:t>
      </w:r>
      <w:r>
        <w:t xml:space="preserve"> 30200000-1 (urządzenia komputerowe), 48000000-8 (pakiety oprogramowania), 80500000-9 (usługi szkoleniowe)</w:t>
      </w:r>
    </w:p>
    <w:p>
      <w:pPr>
        <w:spacing w:before="200" w:after="80"/>
      </w:pPr>
      <w:r>
        <w:rPr>
          <w:b/>
          <w:sz w:val="24"/>
          <w:color w:val="111827"/>
        </w:rPr>
        <w:t xml:space="preserve">1. Przedmiot zamówienia</w:t>
      </w:r>
    </w:p>
    <w:p>
      <w:pPr>
        <w:spacing w:before="0" w:after="120"/>
      </w:pPr>
      <w:r>
        <w:t xml:space="preserve">Przedmiotem zamówienia jest dostawa, konfiguracja i wdrożenie pracowni wirtualnej rzeczywistości obejmującej: [liczba] stanowisk VR (gogle z kontrolerami), oprogramowanie edukacyjne z licencjami, [liczba] walizek transportowo-ładujących, wdrożenie na miejscu, szkolenie nauczycieli oraz wsparcie techniczne w okresie gwarancji.</w:t>
      </w:r>
    </w:p>
    <w:p>
      <w:pPr>
        <w:spacing w:before="200" w:after="80"/>
      </w:pPr>
      <w:r>
        <w:rPr>
          <w:b/>
          <w:sz w:val="24"/>
          <w:color w:val="111827"/>
        </w:rPr>
        <w:t xml:space="preserve">2. Wymagania dotyczące sprzętu (gogle VR) — [liczba] szt.</w:t>
      </w:r>
    </w:p>
    <w:p>
      <w:pPr>
        <w:spacing w:before="0" w:after="60"/>
        <w:ind w:left="480" w:hanging="240"/>
      </w:pPr>
      <w:r>
        <w:t xml:space="preserve">•  gogle autonomiczne (standalone) — praca bez komputera i bez kabli;</w:t>
      </w:r>
    </w:p>
    <w:p>
      <w:pPr>
        <w:spacing w:before="0" w:after="60"/>
        <w:ind w:left="480" w:hanging="240"/>
      </w:pPr>
      <w:r>
        <w:t xml:space="preserve">•  rozdzielczość min. 1 800 × 1 900 pikseli na oko; częstotliwość odświeżania min. 90 Hz;</w:t>
      </w:r>
    </w:p>
    <w:p>
      <w:pPr>
        <w:spacing w:before="0" w:after="60"/>
        <w:ind w:left="480" w:hanging="240"/>
      </w:pPr>
      <w:r>
        <w:t xml:space="preserve">•  śledzenie ruchu 6DoF bez zewnętrznych czujników; śledzenie dłoni (hand tracking); tryb passthrough;</w:t>
      </w:r>
    </w:p>
    <w:p>
      <w:pPr>
        <w:spacing w:before="0" w:after="60"/>
        <w:ind w:left="480" w:hanging="240"/>
      </w:pPr>
      <w:r>
        <w:t xml:space="preserve">•  pamięć min. 128 GB; czas pracy na baterii min. 2 godziny; w zestawie 2 kontrolery i pasek mocujący;</w:t>
      </w:r>
    </w:p>
    <w:p>
      <w:pPr>
        <w:spacing w:before="0" w:after="60"/>
        <w:ind w:left="480" w:hanging="240"/>
      </w:pPr>
      <w:r>
        <w:t xml:space="preserve">•  fabrycznie nowy, wyprodukowany nie wcześniej niż 12 miesięcy przed dostawą; oznakowanie CE; deklaracja zgodności;</w:t>
      </w:r>
    </w:p>
    <w:p>
      <w:pPr>
        <w:spacing w:before="0" w:after="60"/>
        <w:ind w:left="480" w:hanging="240"/>
      </w:pPr>
      <w:r>
        <w:t xml:space="preserve">•  producent posiadający certyfikaty ISO 9001 oraz ISO 14001 lub równoważne;</w:t>
      </w:r>
    </w:p>
    <w:p>
      <w:pPr>
        <w:spacing w:before="0" w:after="60"/>
        <w:ind w:left="480" w:hanging="240"/>
      </w:pPr>
      <w:r>
        <w:t xml:space="preserve">•  instrukcja obsługi w języku polskim; wszystkie gogle od jednego producenta;</w:t>
      </w:r>
    </w:p>
    <w:p>
      <w:pPr>
        <w:spacing w:before="0" w:after="60"/>
        <w:ind w:left="480" w:hanging="240"/>
      </w:pPr>
      <w:r>
        <w:t xml:space="preserve">•  gwarancja min. 24 miesiące; serwis gwarancyjny na terenie Polski w systemie door-to-door; czas reakcji serwisu do [3] dni roboczych.</w:t>
      </w:r>
    </w:p>
    <w:p>
      <w:pPr>
        <w:spacing w:before="200" w:after="80"/>
      </w:pPr>
      <w:r>
        <w:rPr>
          <w:b/>
          <w:sz w:val="24"/>
          <w:color w:val="111827"/>
        </w:rPr>
        <w:t xml:space="preserve">3. Wymagania dotyczące oprogramowania edukacyjnego</w:t>
      </w:r>
    </w:p>
    <w:p>
      <w:pPr>
        <w:spacing w:before="0" w:after="60"/>
        <w:ind w:left="480" w:hanging="240"/>
      </w:pPr>
      <w:r>
        <w:t xml:space="preserve">•  min. [liczba] aplikacji VR w języku polskim, zgodnych z podstawą programową dla [typ szkoły] w zakresie: [przedmioty / kierunki kształcenia, np. chemia, biologia, BHP, logistyka];</w:t>
      </w:r>
    </w:p>
    <w:p>
      <w:pPr>
        <w:spacing w:before="0" w:after="60"/>
        <w:ind w:left="480" w:hanging="240"/>
      </w:pPr>
      <w:r>
        <w:t xml:space="preserve">•  licencja [wieczysta / na okres min. 36 miesięcy] na każde stanowisko, bez limitu liczby uczniów;</w:t>
      </w:r>
    </w:p>
    <w:p>
      <w:pPr>
        <w:spacing w:before="0" w:after="60"/>
        <w:ind w:left="480" w:hanging="240"/>
      </w:pPr>
      <w:r>
        <w:t xml:space="preserve">•  możliwość pracy bez stałego dostępu do internetu po instalacji;</w:t>
      </w:r>
    </w:p>
    <w:p>
      <w:pPr>
        <w:spacing w:before="0" w:after="60"/>
        <w:ind w:left="480" w:hanging="240"/>
      </w:pPr>
      <w:r>
        <w:t xml:space="preserve">•  panel nauczyciela pozwalający uruchomić scenariusz i podejrzeć wynik ucznia; raport z przebiegu ćwiczenia;</w:t>
      </w:r>
    </w:p>
    <w:p>
      <w:pPr>
        <w:spacing w:before="0" w:after="60"/>
        <w:ind w:left="480" w:hanging="240"/>
      </w:pPr>
      <w:r>
        <w:t xml:space="preserve">•  scenariusze zajęć i karty pracy dla nauczyciela do każdej aplikacji;</w:t>
      </w:r>
    </w:p>
    <w:p>
      <w:pPr>
        <w:spacing w:before="0" w:after="60"/>
        <w:ind w:left="480" w:hanging="240"/>
      </w:pPr>
      <w:r>
        <w:t xml:space="preserve">•  aktualizacje oprogramowania w okresie min. 12 miesięcy w cenie.</w:t>
      </w:r>
    </w:p>
    <w:p>
      <w:pPr>
        <w:spacing w:before="200" w:after="80"/>
      </w:pPr>
      <w:r>
        <w:rPr>
          <w:b/>
          <w:sz w:val="24"/>
          <w:color w:val="111827"/>
        </w:rPr>
        <w:t xml:space="preserve">4. Walizka transportowo-ładująca — [liczba] szt.</w:t>
      </w:r>
    </w:p>
    <w:p>
      <w:pPr>
        <w:spacing w:before="0" w:after="60"/>
        <w:ind w:left="480" w:hanging="240"/>
      </w:pPr>
      <w:r>
        <w:t xml:space="preserve">•  miejsce na min. 9 gogli z kontrolerami; ładowanie wszystkich urządzeń z jednego gniazda zasilania; zamykana, z kółkami lub uchwytem; gwarancja min. 24 miesiące.</w:t>
      </w:r>
    </w:p>
    <w:p>
      <w:pPr>
        <w:spacing w:before="200" w:after="80"/>
      </w:pPr>
      <w:r>
        <w:rPr>
          <w:b/>
          <w:sz w:val="24"/>
          <w:color w:val="111827"/>
        </w:rPr>
        <w:t xml:space="preserve">5. Wdrożenie i szkolenie</w:t>
      </w:r>
    </w:p>
    <w:p>
      <w:pPr>
        <w:spacing w:before="0" w:after="60"/>
        <w:ind w:left="480" w:hanging="240"/>
      </w:pPr>
      <w:r>
        <w:t xml:space="preserve">•  dostawa, konfiguracja gogli, instalacja i aktywacja licencji na miejscu, w siedzibie szkoły;</w:t>
      </w:r>
    </w:p>
    <w:p>
      <w:pPr>
        <w:spacing w:before="0" w:after="60"/>
        <w:ind w:left="480" w:hanging="240"/>
      </w:pPr>
      <w:r>
        <w:t xml:space="preserve">•  szkolenie dla min. [liczba] nauczycieli w wymiarze min. [4] godzin, zakończone certyfikatem; przeprowadzenie pierwszych zajęć pokazowych z uczniami;</w:t>
      </w:r>
    </w:p>
    <w:p>
      <w:pPr>
        <w:spacing w:before="0" w:after="60"/>
        <w:ind w:left="480" w:hanging="240"/>
      </w:pPr>
      <w:r>
        <w:t xml:space="preserve">•  materiały metodyczne i instrukcja bezpiecznego użytkowania VR w szkole (higiena, czas sesji, przeciwwskazania).</w:t>
      </w:r>
    </w:p>
    <w:p>
      <w:pPr>
        <w:spacing w:before="200" w:after="80"/>
      </w:pPr>
      <w:r>
        <w:rPr>
          <w:b/>
          <w:sz w:val="24"/>
          <w:color w:val="111827"/>
        </w:rPr>
        <w:t xml:space="preserve">6. Wsparcie i gwarancja</w:t>
      </w:r>
    </w:p>
    <w:p>
      <w:pPr>
        <w:spacing w:before="0" w:after="60"/>
        <w:ind w:left="480" w:hanging="240"/>
      </w:pPr>
      <w:r>
        <w:t xml:space="preserve">•  wsparcie techniczne w języku polskim w dni robocze przez cały okres gwarancji; wymiana lub naprawa sprzętu w okresie gwarancji bez dodatkowych kosztów; dostęp do aktualizacji.</w:t>
      </w:r>
    </w:p>
    <w:p>
      <w:pPr>
        <w:spacing w:before="200" w:after="80"/>
      </w:pPr>
      <w:r>
        <w:rPr>
          <w:b/>
          <w:sz w:val="24"/>
          <w:color w:val="111827"/>
        </w:rPr>
        <w:t xml:space="preserve">7. Termin realizacji</w:t>
      </w:r>
    </w:p>
    <w:p>
      <w:pPr>
        <w:spacing w:before="0" w:after="120"/>
      </w:pPr>
      <w:r>
        <w:t xml:space="preserve">Dostawa i wdrożenie w terminie do [30] dni od dnia podpisania umowy, nie później niż do [data wynikająca z programu].</w:t>
      </w:r>
    </w:p>
    <w:p>
      <w:pPr>
        <w:spacing w:before="200" w:after="80"/>
      </w:pPr>
      <w:r>
        <w:rPr>
          <w:b/>
          <w:sz w:val="24"/>
          <w:color w:val="111827"/>
        </w:rPr>
        <w:t xml:space="preserve">8. Kryteria oceny ofert (propozycja)</w:t>
      </w:r>
    </w:p>
    <w:tbl>
      <w:tblPr>
        <w:tblW w:w="9000" w:type="dxa"/>
        <w:tblBorders>
          <w:top w:val="single" w:sz="4" w:color="999999"/>
          <w:left w:val="single" w:sz="4" w:color="999999"/>
          <w:bottom w:val="single" w:sz="4" w:color="999999"/>
          <w:right w:val="single" w:sz="4" w:color="999999"/>
          <w:insideH w:val="single" w:sz="4" w:color="999999"/>
          <w:insideV w:val="single" w:sz="4" w:color="999999"/>
        </w:tblBorders>
      </w:tblPr>
      <w:tblGrid>
        <w:gridCol w:w="3000"/>
        <w:gridCol w:w="3000"/>
        <w:gridCol w:w="3000"/>
      </w:tblGrid>
      <w:tr>
        <w:tc>
          <w:tcPr>
            <w:tcW w:w="3000" w:type="dxa"/>
          </w:tcPr>
          <w:p>
            <w:pPr>
              <w:spacing w:before="0" w:after="40"/>
            </w:pPr>
            <w:r>
              <w:rPr>
                <w:b/>
                <w:sz w:val="20"/>
              </w:rPr>
              <w:t xml:space="preserve">Kryterium</w:t>
            </w:r>
          </w:p>
        </w:tc>
        <w:tc>
          <w:tcPr>
            <w:tcW w:w="3000" w:type="dxa"/>
          </w:tcPr>
          <w:p>
            <w:pPr>
              <w:spacing w:before="0" w:after="40"/>
            </w:pPr>
            <w:r>
              <w:rPr>
                <w:b/>
                <w:sz w:val="20"/>
              </w:rPr>
              <w:t xml:space="preserve">Waga</w:t>
            </w:r>
          </w:p>
        </w:tc>
        <w:tc>
          <w:tcPr>
            <w:tcW w:w="3000" w:type="dxa"/>
          </w:tcPr>
          <w:p>
            <w:pPr>
              <w:spacing w:before="0" w:after="40"/>
            </w:pPr>
            <w:r>
              <w:rPr>
                <w:b/>
                <w:sz w:val="20"/>
              </w:rPr>
              <w:t xml:space="preserve">Sposób oceny</w:t>
            </w:r>
          </w:p>
        </w:tc>
      </w:tr>
      <w:tr>
        <w:tc>
          <w:tcPr>
            <w:tcW w:w="3000" w:type="dxa"/>
          </w:tcPr>
          <w:p>
            <w:pPr>
              <w:spacing w:before="0" w:after="40"/>
            </w:pPr>
            <w:r>
              <w:rPr>
                <w:sz w:val="20"/>
              </w:rPr>
              <w:t xml:space="preserve">Cena</w:t>
            </w:r>
          </w:p>
        </w:tc>
        <w:tc>
          <w:tcPr>
            <w:tcW w:w="3000" w:type="dxa"/>
          </w:tcPr>
          <w:p>
            <w:pPr>
              <w:spacing w:before="0" w:after="40"/>
            </w:pPr>
            <w:r>
              <w:rPr>
                <w:sz w:val="20"/>
              </w:rPr>
              <w:t xml:space="preserve">60%</w:t>
            </w:r>
          </w:p>
        </w:tc>
        <w:tc>
          <w:tcPr>
            <w:tcW w:w="3000" w:type="dxa"/>
          </w:tcPr>
          <w:p>
            <w:pPr>
              <w:spacing w:before="0" w:after="40"/>
            </w:pPr>
            <w:r>
              <w:rPr>
                <w:sz w:val="20"/>
              </w:rPr>
              <w:t xml:space="preserve">najniższa cena / cena oferty × 60</w:t>
            </w:r>
          </w:p>
        </w:tc>
      </w:tr>
      <w:tr>
        <w:tc>
          <w:tcPr>
            <w:tcW w:w="3000" w:type="dxa"/>
          </w:tcPr>
          <w:p>
            <w:pPr>
              <w:spacing w:before="0" w:after="40"/>
            </w:pPr>
            <w:r>
              <w:rPr>
                <w:sz w:val="20"/>
              </w:rPr>
              <w:t xml:space="preserve">Liczba aplikacji zgodnych z podstawą programową</w:t>
            </w:r>
          </w:p>
        </w:tc>
        <w:tc>
          <w:tcPr>
            <w:tcW w:w="3000" w:type="dxa"/>
          </w:tcPr>
          <w:p>
            <w:pPr>
              <w:spacing w:before="0" w:after="40"/>
            </w:pPr>
            <w:r>
              <w:rPr>
                <w:sz w:val="20"/>
              </w:rPr>
              <w:t xml:space="preserve">20%</w:t>
            </w:r>
          </w:p>
        </w:tc>
        <w:tc>
          <w:tcPr>
            <w:tcW w:w="3000" w:type="dxa"/>
          </w:tcPr>
          <w:p>
            <w:pPr>
              <w:spacing w:before="0" w:after="40"/>
            </w:pPr>
            <w:r>
              <w:rPr>
                <w:sz w:val="20"/>
              </w:rPr>
              <w:t xml:space="preserve">ponad wymagane minimum, do [5] dodatkowych</w:t>
            </w:r>
          </w:p>
        </w:tc>
      </w:tr>
      <w:tr>
        <w:tc>
          <w:tcPr>
            <w:tcW w:w="3000" w:type="dxa"/>
          </w:tcPr>
          <w:p>
            <w:pPr>
              <w:spacing w:before="0" w:after="40"/>
            </w:pPr>
            <w:r>
              <w:rPr>
                <w:sz w:val="20"/>
              </w:rPr>
              <w:t xml:space="preserve">Okres gwarancji na sprzęt</w:t>
            </w:r>
          </w:p>
        </w:tc>
        <w:tc>
          <w:tcPr>
            <w:tcW w:w="3000" w:type="dxa"/>
          </w:tcPr>
          <w:p>
            <w:pPr>
              <w:spacing w:before="0" w:after="40"/>
            </w:pPr>
            <w:r>
              <w:rPr>
                <w:sz w:val="20"/>
              </w:rPr>
              <w:t xml:space="preserve">10%</w:t>
            </w:r>
          </w:p>
        </w:tc>
        <w:tc>
          <w:tcPr>
            <w:tcW w:w="3000" w:type="dxa"/>
          </w:tcPr>
          <w:p>
            <w:pPr>
              <w:spacing w:before="0" w:after="40"/>
            </w:pPr>
            <w:r>
              <w:rPr>
                <w:sz w:val="20"/>
              </w:rPr>
              <w:t xml:space="preserve">24 mies. — 0 pkt, 36 mies. — 10 pkt</w:t>
            </w:r>
          </w:p>
        </w:tc>
      </w:tr>
      <w:tr>
        <w:tc>
          <w:tcPr>
            <w:tcW w:w="3000" w:type="dxa"/>
          </w:tcPr>
          <w:p>
            <w:pPr>
              <w:spacing w:before="0" w:after="40"/>
            </w:pPr>
            <w:r>
              <w:rPr>
                <w:sz w:val="20"/>
              </w:rPr>
              <w:t xml:space="preserve">Zakres szkolenia nauczycieli</w:t>
            </w:r>
          </w:p>
        </w:tc>
        <w:tc>
          <w:tcPr>
            <w:tcW w:w="3000" w:type="dxa"/>
          </w:tcPr>
          <w:p>
            <w:pPr>
              <w:spacing w:before="0" w:after="40"/>
            </w:pPr>
            <w:r>
              <w:rPr>
                <w:sz w:val="20"/>
              </w:rPr>
              <w:t xml:space="preserve">10%</w:t>
            </w:r>
          </w:p>
        </w:tc>
        <w:tc>
          <w:tcPr>
            <w:tcW w:w="3000" w:type="dxa"/>
          </w:tcPr>
          <w:p>
            <w:pPr>
              <w:spacing w:before="0" w:after="40"/>
            </w:pPr>
            <w:r>
              <w:rPr>
                <w:sz w:val="20"/>
              </w:rPr>
              <w:t xml:space="preserve">liczba godzin ponad minimum</w:t>
            </w:r>
          </w:p>
        </w:tc>
      </w:tr>
    </w:tbl>
    <w:p>
      <w:pPr>
        <w:spacing w:before="0" w:after="60"/>
      </w:pPr>
      <w:r>
        <w:t xml:space="preserve"/>
      </w:r>
    </w:p>
    <w:p>
      <w:pPr>
        <w:spacing w:before="200" w:after="80"/>
      </w:pPr>
      <w:r>
        <w:rPr>
          <w:b/>
          <w:sz w:val="24"/>
          <w:color w:val="111827"/>
        </w:rPr>
        <w:t xml:space="preserve">9. Równoważność</w:t>
      </w:r>
    </w:p>
    <w:p>
      <w:pPr>
        <w:spacing w:before="0" w:after="120"/>
      </w:pPr>
      <w:r>
        <w:t xml:space="preserve">Wszystkie wskazane parametry są wymaganiami minimalnymi. Zamawiający dopuszcza rozwiązania równoważne o parametrach nie gorszych niż opisane; obowiązek wykazania równoważności spoczywa na wykonawcy.</w:t>
      </w:r>
    </w:p>
    <w:p>
      <w:pPr>
        <w:spacing w:before="0" w:after="120"/>
      </w:pPr>
      <w:r>
        <w:rPr>
          <w:sz w:val="16"/>
          <w:color w:val="666666"/>
        </w:rPr>
        <w:t xml:space="preserve">Wzór udostępniony przez EPICVR S.A. (epicvr.pl/pl/zakup-vr-z-dotacji-dokumenty/) — stan na wrzesień 2026. Materiał pomocniczy, nie stanowi porady prawnej. Pola w nawiasach kwadratowych uzupełnia zamawiający.</w:t>
      </w:r>
    </w:p>
    <w:sectPr>
      <w:pgSz w:w="11906" w:h="16838"/>
      <w:pgMar w:top="1134" w:right="1247" w:bottom="1134" w:left="1247" w:header="708" w:footer="708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lang w:val="pl-PL"/>
      </w:rPr>
    </w:rPrDefault>
  </w:docDefaults>
  <w:style w:type="paragraph" w:default="1" w:styleId="Normal">
    <w:name w:val="Normal"/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