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0" w:after="200"/>
      </w:pPr>
      <w:r>
        <w:rPr>
          <w:b/>
          <w:sz w:val="32"/>
        </w:rPr>
        <w:t xml:space="preserve">LISTA KONTROLNA ZAMAWIAJĄCEGO — zakup VR z dotacji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Przed zakupem</w:t>
      </w:r>
    </w:p>
    <w:p>
      <w:pPr>
        <w:spacing w:before="0" w:after="60"/>
        <w:ind w:left="480" w:hanging="240"/>
      </w:pPr>
      <w:r>
        <w:t xml:space="preserve">•  ☐ decyzja o dofinansowaniu i kwota wsparcia</w:t>
      </w:r>
    </w:p>
    <w:p>
      <w:pPr>
        <w:spacing w:before="0" w:after="60"/>
        <w:ind w:left="480" w:hanging="240"/>
      </w:pPr>
      <w:r>
        <w:t xml:space="preserve">•  ☐ wniosek — lista rodzajów sprzętu i oprogramowania oraz kwoty</w:t>
      </w:r>
    </w:p>
    <w:p>
      <w:pPr>
        <w:spacing w:before="0" w:after="60"/>
        <w:ind w:left="480" w:hanging="240"/>
      </w:pPr>
      <w:r>
        <w:t xml:space="preserve">•  ☐ wkład własny zabezpieczony w budżecie organu (min. 20%)</w:t>
      </w:r>
    </w:p>
    <w:p>
      <w:pPr>
        <w:spacing w:before="0" w:after="60"/>
        <w:ind w:left="480" w:hanging="240"/>
      </w:pPr>
      <w:r>
        <w:t xml:space="preserve">•  ☐ tryb zakupu ustalony po zsumowaniu wartości w skali organu</w:t>
      </w:r>
    </w:p>
    <w:p>
      <w:pPr>
        <w:spacing w:before="0" w:after="60"/>
        <w:ind w:left="480" w:hanging="240"/>
      </w:pPr>
      <w:r>
        <w:t xml:space="preserve">•  ☐ regulamin zamówień organu prowadzącego sprawdzony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Postępowanie</w:t>
      </w:r>
    </w:p>
    <w:p>
      <w:pPr>
        <w:spacing w:before="0" w:after="60"/>
        <w:ind w:left="480" w:hanging="240"/>
      </w:pPr>
      <w:r>
        <w:t xml:space="preserve">•  ☐ OPZ neutralny technologicznie z parametrami minimalnymi</w:t>
      </w:r>
    </w:p>
    <w:p>
      <w:pPr>
        <w:spacing w:before="0" w:after="60"/>
        <w:ind w:left="480" w:hanging="240"/>
      </w:pPr>
      <w:r>
        <w:t xml:space="preserve">•  ☐ formularz cenowy w jednej strukturze dla wszystkich ofert</w:t>
      </w:r>
    </w:p>
    <w:p>
      <w:pPr>
        <w:spacing w:before="0" w:after="60"/>
        <w:ind w:left="480" w:hanging="240"/>
      </w:pPr>
      <w:r>
        <w:t xml:space="preserve">•  ☐ kryteria oceny określone przed wysłaniem zapytania</w:t>
      </w:r>
    </w:p>
    <w:p>
      <w:pPr>
        <w:spacing w:before="0" w:after="60"/>
        <w:ind w:left="480" w:hanging="240"/>
      </w:pPr>
      <w:r>
        <w:t xml:space="preserve">•  ☐ min. 7 dni na złożenie ofert; odpowiedzi na pytania przekazane wszystkim</w:t>
      </w:r>
    </w:p>
    <w:p>
      <w:pPr>
        <w:spacing w:before="0" w:after="60"/>
        <w:ind w:left="480" w:hanging="240"/>
      </w:pPr>
      <w:r>
        <w:t xml:space="preserve">•  ☐ protokół z wyboru oferty podpisany</w:t>
      </w:r>
    </w:p>
    <w:p>
      <w:pPr>
        <w:spacing w:before="0" w:after="60"/>
        <w:ind w:left="480" w:hanging="240"/>
      </w:pPr>
      <w:r>
        <w:t xml:space="preserve">•  ☐ umowa lub zamówienie z terminem, gwarancją i serwisem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Odbiór i rozliczenie</w:t>
      </w:r>
    </w:p>
    <w:p>
      <w:pPr>
        <w:spacing w:before="0" w:after="60"/>
        <w:ind w:left="480" w:hanging="240"/>
      </w:pPr>
      <w:r>
        <w:t xml:space="preserve">•  ☐ protokół odbioru z numerami seryjnymi i datą</w:t>
      </w:r>
    </w:p>
    <w:p>
      <w:pPr>
        <w:spacing w:before="0" w:after="60"/>
        <w:ind w:left="480" w:hanging="240"/>
      </w:pPr>
      <w:r>
        <w:t xml:space="preserve">•  ☐ deklaracje CE, karty gwarancyjne, instrukcje PL</w:t>
      </w:r>
    </w:p>
    <w:p>
      <w:pPr>
        <w:spacing w:before="0" w:after="60"/>
        <w:ind w:left="480" w:hanging="240"/>
      </w:pPr>
      <w:r>
        <w:t xml:space="preserve">•  ☐ oświadczenie wykonawcy o zgodności z § 5</w:t>
      </w:r>
    </w:p>
    <w:p>
      <w:pPr>
        <w:spacing w:before="0" w:after="60"/>
        <w:ind w:left="480" w:hanging="240"/>
      </w:pPr>
      <w:r>
        <w:t xml:space="preserve">•  ☐ faktura z pozycjami zgodnymi z wnioskiem</w:t>
      </w:r>
    </w:p>
    <w:p>
      <w:pPr>
        <w:spacing w:before="0" w:after="60"/>
        <w:ind w:left="480" w:hanging="240"/>
      </w:pPr>
      <w:r>
        <w:t xml:space="preserve">•  ☐ potwierdzenie szkolenia nauczycieli (lista, certyfikaty)</w:t>
      </w:r>
    </w:p>
    <w:p>
      <w:pPr>
        <w:spacing w:before="0" w:after="60"/>
        <w:ind w:left="480" w:hanging="240"/>
      </w:pPr>
      <w:r>
        <w:t xml:space="preserve">•  ☐ sprzęt wpisany do SIO; ewidencja środków trwałych</w:t>
      </w:r>
    </w:p>
    <w:p>
      <w:pPr>
        <w:spacing w:before="0" w:after="60"/>
        <w:ind w:left="480" w:hanging="240"/>
      </w:pPr>
      <w:r>
        <w:t xml:space="preserve">•  ☐ sprawozdanie z realizacji złożone w terminie z rozporządzenia</w:t>
      </w:r>
    </w:p>
    <w:p>
      <w:pPr>
        <w:spacing w:before="0" w:after="120"/>
      </w:pPr>
      <w:r>
        <w:rPr>
          <w:sz w:val="16"/>
          <w:color w:val="666666"/>
        </w:rPr>
        <w:t xml:space="preserve">Wzór udostępniony przez EPICVR S.A. (epicvr.pl/pl/zakup-vr-z-dotacji-dokumenty/) — stan na wrzesień 2026. Materiał pomocniczy, nie stanowi porady prawnej. Pola w nawiasach kwadratowych uzupełnia zamawiający.</w:t>
      </w:r>
    </w:p>
    <w:sectPr>
      <w:pgSz w:w="11906" w:h="16838"/>
      <w:pgMar w:top="1134" w:right="1247" w:bottom="1134" w:left="1247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pl-PL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